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rPr>
          <w:rFonts w:hint="default" w:ascii="Times New Roman Regular" w:hAnsi="Times New Roman Regular" w:cs="Times New Roman Regular"/>
          <w:i/>
          <w:iCs/>
        </w:rPr>
      </w:pPr>
      <w:bookmarkStart w:id="0" w:name="_GoBack"/>
      <w:bookmarkEnd w:id="0"/>
      <w:r>
        <w:rPr>
          <w:rFonts w:hint="default" w:ascii="Times New Roman Regular" w:hAnsi="Times New Roman Regular" w:cs="Times New Roman Regular"/>
          <w:i/>
          <w:iCs/>
        </w:rPr>
        <w:drawing>
          <wp:inline distT="0" distB="0" distL="114300" distR="114300">
            <wp:extent cx="3729355" cy="3383280"/>
            <wp:effectExtent l="0" t="0" r="4445" b="20320"/>
            <wp:docPr id="4" name="图片 4" descr="IMG_77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779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29355" cy="3383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 w:ascii="Times New Roman Regular" w:hAnsi="Times New Roman Regular" w:cs="Times New Roman Regular"/>
          <w:i/>
          <w:iCs/>
          <w:highlight w:val="none"/>
        </w:rPr>
      </w:pPr>
      <w:r>
        <w:rPr>
          <w:rFonts w:hint="default" w:ascii="Times New Roman Regular" w:hAnsi="Times New Roman Regular" w:cs="Times New Roman Regular"/>
          <w:i/>
          <w:iCs/>
        </w:rPr>
        <w:t xml:space="preserve">Supplementary Figure 1. </w:t>
      </w:r>
      <w:r>
        <w:rPr>
          <w:rFonts w:hint="default" w:ascii="Times New Roman Regular" w:hAnsi="Times New Roman Regular" w:cs="Times New Roman Regular"/>
          <w:i/>
          <w:iCs/>
          <w:highlight w:val="none"/>
        </w:rPr>
        <w:t>C</w:t>
      </w:r>
      <w:r>
        <w:rPr>
          <w:rFonts w:ascii="Times New Roman Regular" w:hAnsi="Times New Roman Regular" w:cs="Times New Roman Regular"/>
          <w:i/>
          <w:iCs/>
          <w:highlight w:val="none"/>
        </w:rPr>
        <w:t>hanges of mRNA in laboring myometrial biopsies compared to non-laboring samples and hypoxia-related mRNA were marked</w:t>
      </w:r>
      <w:r>
        <w:rPr>
          <w:rFonts w:hint="default" w:ascii="Times New Roman Regular" w:hAnsi="Times New Roman Regular" w:cs="Times New Roman Regular"/>
          <w:i/>
          <w:iCs/>
          <w:highlight w:val="none"/>
        </w:rPr>
        <w:t xml:space="preserve">. The criteria were 1.5-fold change increase or decrease in expression levels and </w:t>
      </w:r>
      <w:r>
        <w:rPr>
          <w:rFonts w:ascii="Times New Roman Regular" w:hAnsi="Times New Roman Regular" w:cs="Times New Roman Regular"/>
          <w:i/>
          <w:iCs/>
          <w:highlight w:val="none"/>
        </w:rPr>
        <w:t>P&lt;0.05</w:t>
      </w:r>
      <w:r>
        <w:rPr>
          <w:rFonts w:hint="default" w:ascii="Times New Roman Regular" w:hAnsi="Times New Roman Regular" w:cs="Times New Roman Regular"/>
          <w:i/>
          <w:iCs/>
          <w:highlight w:val="none"/>
        </w:rPr>
        <w:t>.</w:t>
      </w:r>
    </w:p>
    <w:p>
      <w:pPr>
        <w:rPr>
          <w:rFonts w:hint="default" w:ascii="Times New Roman Regular" w:hAnsi="Times New Roman Regular" w:cs="Times New Roman Regular"/>
          <w:i/>
          <w:iCs/>
          <w:highlight w:val="none"/>
        </w:rPr>
      </w:pPr>
    </w:p>
    <w:p>
      <w:pPr>
        <w:rPr>
          <w:rFonts w:hint="default" w:ascii="Times New Roman Regular" w:hAnsi="Times New Roman Regular" w:cs="Times New Roman Regular"/>
          <w:i/>
          <w:iCs/>
        </w:rPr>
      </w:pPr>
      <w:r>
        <w:rPr>
          <w:rFonts w:hint="default" w:ascii="Times New Roman Regular" w:hAnsi="Times New Roman Regular" w:cs="Times New Roman Regular"/>
          <w:i/>
          <w:iCs/>
        </w:rPr>
        <w:drawing>
          <wp:inline distT="0" distB="0" distL="114300" distR="114300">
            <wp:extent cx="5269230" cy="3554095"/>
            <wp:effectExtent l="0" t="0" r="13970" b="1905"/>
            <wp:docPr id="1" name="图片 1" descr="IMG_77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779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554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default" w:ascii="Times New Roman Regular" w:hAnsi="Times New Roman Regular" w:cs="Times New Roman Regular"/>
          <w:i/>
          <w:iCs/>
        </w:rPr>
      </w:pPr>
      <w:r>
        <w:rPr>
          <w:rFonts w:hint="default" w:ascii="Times New Roman Regular" w:hAnsi="Times New Roman Regular" w:cs="Times New Roman Regular"/>
          <w:i/>
          <w:iCs/>
          <w:highlight w:val="none"/>
        </w:rPr>
        <w:t xml:space="preserve">Supplementary Figure 2. </w:t>
      </w:r>
      <w:r>
        <w:rPr>
          <w:rFonts w:hint="default" w:ascii="Times New Roman Regular" w:hAnsi="Times New Roman Regular" w:cs="Times New Roman Regular"/>
          <w:i/>
          <w:iCs/>
          <w:highlight w:val="none"/>
        </w:rPr>
        <w:t>C</w:t>
      </w:r>
      <w:r>
        <w:rPr>
          <w:rFonts w:ascii="Times New Roman Regular" w:hAnsi="Times New Roman Regular" w:cs="Times New Roman Regular"/>
          <w:i/>
          <w:iCs/>
          <w:highlight w:val="none"/>
        </w:rPr>
        <w:t>hanges of hypoxia-related mRNA enriched in HIF-1 pathway via KEGG.</w:t>
      </w:r>
    </w:p>
    <w:p>
      <w:pPr>
        <w:rPr>
          <w:rFonts w:hint="default" w:ascii="Times New Roman Regular" w:hAnsi="Times New Roman Regular" w:cs="Times New Roman Regular"/>
          <w:i/>
          <w:iCs/>
        </w:rPr>
      </w:pPr>
      <w:r>
        <w:rPr>
          <w:rFonts w:hint="default" w:ascii="Times New Roman Regular" w:hAnsi="Times New Roman Regular" w:cs="Times New Roman Regular"/>
          <w:i/>
          <w:iCs/>
        </w:rPr>
        <w:drawing>
          <wp:inline distT="0" distB="0" distL="114300" distR="114300">
            <wp:extent cx="5253990" cy="3962400"/>
            <wp:effectExtent l="0" t="0" r="3810" b="0"/>
            <wp:docPr id="3" name="图片 3" descr="CDM+SMA鉴定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DM+SMA鉴定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53990" cy="396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Times New Roman Italic" w:hAnsi="Times New Roman Italic" w:cs="Times New Roman Italic"/>
          <w:i/>
          <w:iCs/>
          <w:sz w:val="20"/>
          <w:szCs w:val="20"/>
        </w:rPr>
      </w:pPr>
      <w:r>
        <w:rPr>
          <w:rFonts w:ascii="Times New Roman Italic" w:hAnsi="Times New Roman Italic" w:cs="Times New Roman Italic"/>
          <w:b/>
          <w:bCs/>
          <w:i/>
          <w:iCs/>
          <w:sz w:val="20"/>
          <w:szCs w:val="20"/>
        </w:rPr>
        <w:t xml:space="preserve">Supplementary </w:t>
      </w:r>
      <w:r>
        <w:rPr>
          <w:rFonts w:hint="default" w:ascii="Times New Roman Italic" w:hAnsi="Times New Roman Italic" w:cs="Times New Roman Italic"/>
          <w:b/>
          <w:bCs/>
          <w:i/>
          <w:iCs/>
          <w:sz w:val="20"/>
          <w:szCs w:val="20"/>
        </w:rPr>
        <w:t>F</w:t>
      </w:r>
      <w:r>
        <w:rPr>
          <w:rFonts w:ascii="Times New Roman Italic" w:hAnsi="Times New Roman Italic" w:cs="Times New Roman Italic"/>
          <w:b/>
          <w:bCs/>
          <w:i/>
          <w:iCs/>
          <w:sz w:val="20"/>
          <w:szCs w:val="20"/>
        </w:rPr>
        <w:t xml:space="preserve">igure </w:t>
      </w:r>
      <w:r>
        <w:rPr>
          <w:rFonts w:hint="default" w:ascii="Times New Roman Italic" w:hAnsi="Times New Roman Italic" w:cs="Times New Roman Italic"/>
          <w:b/>
          <w:bCs/>
          <w:i/>
          <w:iCs/>
          <w:sz w:val="20"/>
          <w:szCs w:val="20"/>
        </w:rPr>
        <w:t>3</w:t>
      </w:r>
      <w:r>
        <w:rPr>
          <w:rFonts w:ascii="Times New Roman Italic" w:hAnsi="Times New Roman Italic" w:cs="Times New Roman Italic"/>
          <w:i/>
          <w:iCs/>
          <w:sz w:val="20"/>
          <w:szCs w:val="20"/>
        </w:rPr>
        <w:t>. Indentification of human myometrial smooth muscle cells</w:t>
      </w:r>
      <w:r>
        <w:rPr>
          <w:rFonts w:hint="default" w:ascii="Times New Roman Italic" w:hAnsi="Times New Roman Italic" w:cs="Times New Roman Italic"/>
          <w:i/>
          <w:iCs/>
          <w:sz w:val="20"/>
          <w:szCs w:val="20"/>
        </w:rPr>
        <w:t xml:space="preserve"> (hMSMCs)</w:t>
      </w:r>
      <w:r>
        <w:rPr>
          <w:rFonts w:ascii="Times New Roman Italic" w:hAnsi="Times New Roman Italic" w:cs="Times New Roman Italic"/>
          <w:i/>
          <w:iCs/>
          <w:sz w:val="20"/>
          <w:szCs w:val="20"/>
        </w:rPr>
        <w:t xml:space="preserve"> </w:t>
      </w:r>
      <w:r>
        <w:rPr>
          <w:rFonts w:hint="default" w:ascii="Times New Roman Italic" w:hAnsi="Times New Roman Italic" w:cs="Times New Roman Italic"/>
          <w:i/>
          <w:iCs/>
          <w:sz w:val="20"/>
          <w:szCs w:val="20"/>
        </w:rPr>
        <w:t>isolated from non-laboring myometrium via</w:t>
      </w:r>
      <w:r>
        <w:rPr>
          <w:rFonts w:ascii="Times New Roman Italic" w:hAnsi="Times New Roman Italic" w:cs="Times New Roman Italic"/>
          <w:i/>
          <w:iCs/>
          <w:sz w:val="20"/>
          <w:szCs w:val="20"/>
        </w:rPr>
        <w:t xml:space="preserve"> immunofluorescence. </w:t>
      </w:r>
      <w:r>
        <w:rPr>
          <w:rFonts w:hint="default" w:ascii="Times New Roman Italic" w:hAnsi="Times New Roman Italic" w:cs="Times New Roman Italic"/>
          <w:i/>
          <w:iCs/>
          <w:sz w:val="20"/>
          <w:szCs w:val="20"/>
        </w:rPr>
        <w:t xml:space="preserve">Both the caldesmon (shown green) and </w:t>
      </w:r>
      <w:r>
        <w:rPr>
          <w:rFonts w:ascii="Times New Roman Italic" w:hAnsi="Times New Roman Italic" w:cs="Times New Roman Italic"/>
          <w:i/>
          <w:iCs/>
          <w:sz w:val="20"/>
          <w:szCs w:val="20"/>
        </w:rPr>
        <w:t xml:space="preserve">α-SMA </w:t>
      </w:r>
      <w:r>
        <w:rPr>
          <w:rFonts w:hint="default" w:ascii="Times New Roman Italic" w:hAnsi="Times New Roman Italic" w:cs="Times New Roman Italic"/>
          <w:i/>
          <w:iCs/>
          <w:sz w:val="20"/>
          <w:szCs w:val="20"/>
        </w:rPr>
        <w:t>(</w:t>
      </w:r>
      <w:r>
        <w:rPr>
          <w:rFonts w:ascii="Times New Roman Italic" w:hAnsi="Times New Roman Italic" w:cs="Times New Roman Italic"/>
          <w:i/>
          <w:iCs/>
          <w:sz w:val="20"/>
          <w:szCs w:val="20"/>
        </w:rPr>
        <w:t>shown red</w:t>
      </w:r>
      <w:r>
        <w:rPr>
          <w:rFonts w:hint="default" w:ascii="Times New Roman Italic" w:hAnsi="Times New Roman Italic" w:cs="Times New Roman Italic"/>
          <w:i/>
          <w:iCs/>
          <w:sz w:val="20"/>
          <w:szCs w:val="20"/>
        </w:rPr>
        <w:t>) were</w:t>
      </w:r>
      <w:r>
        <w:rPr>
          <w:rFonts w:ascii="Times New Roman Italic" w:hAnsi="Times New Roman Italic" w:cs="Times New Roman Italic"/>
          <w:i/>
          <w:iCs/>
          <w:sz w:val="20"/>
          <w:szCs w:val="20"/>
        </w:rPr>
        <w:t xml:space="preserve"> expressed in the cytoplasm and the nuclei</w:t>
      </w:r>
      <w:r>
        <w:rPr>
          <w:rFonts w:hint="default" w:ascii="Times New Roman Italic" w:hAnsi="Times New Roman Italic" w:cs="Times New Roman Italic"/>
          <w:i/>
          <w:iCs/>
          <w:sz w:val="20"/>
          <w:szCs w:val="20"/>
        </w:rPr>
        <w:t xml:space="preserve"> were</w:t>
      </w:r>
      <w:r>
        <w:rPr>
          <w:rFonts w:ascii="Times New Roman Italic" w:hAnsi="Times New Roman Italic" w:cs="Times New Roman Italic"/>
          <w:i/>
          <w:iCs/>
          <w:sz w:val="20"/>
          <w:szCs w:val="20"/>
        </w:rPr>
        <w:t xml:space="preserve"> dyed blue by DAPI. Scale bar: 100μm. </w:t>
      </w:r>
    </w:p>
    <w:p>
      <w:pPr>
        <w:rPr>
          <w:rFonts w:ascii="Times New Roman Regular" w:hAnsi="Times New Roman Regular" w:cs="Times New Roman Regular"/>
          <w:i/>
          <w:iCs/>
        </w:rPr>
      </w:pPr>
    </w:p>
    <w:p>
      <w:pPr>
        <w:rPr>
          <w:rFonts w:ascii="Times New Roman Regular" w:hAnsi="Times New Roman Regular" w:cs="Times New Roman Regular"/>
          <w:i/>
          <w:iCs/>
        </w:rPr>
      </w:pPr>
      <w:r>
        <w:rPr>
          <w:rFonts w:ascii="Times New Roman Regular" w:hAnsi="Times New Roman Regular" w:cs="Times New Roman Regular"/>
          <w:i/>
          <w:iCs/>
        </w:rPr>
        <w:drawing>
          <wp:inline distT="0" distB="0" distL="114300" distR="114300">
            <wp:extent cx="4849495" cy="1604010"/>
            <wp:effectExtent l="0" t="0" r="0" b="22225"/>
            <wp:docPr id="8" name="图片 8" descr="0246造模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0246造模"/>
                    <pic:cNvPicPr>
                      <a:picLocks noChangeAspect="1"/>
                    </pic:cNvPicPr>
                  </pic:nvPicPr>
                  <pic:blipFill>
                    <a:blip r:embed="rId7"/>
                    <a:srcRect l="3829" t="54511" r="3914"/>
                    <a:stretch>
                      <a:fillRect/>
                    </a:stretch>
                  </pic:blipFill>
                  <pic:spPr>
                    <a:xfrm>
                      <a:off x="0" y="0"/>
                      <a:ext cx="4849495" cy="1604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Times New Roman Italic" w:hAnsi="Times New Roman Italic" w:cs="Times New Roman Italic"/>
          <w:i/>
          <w:iCs/>
          <w:sz w:val="20"/>
          <w:szCs w:val="20"/>
        </w:rPr>
      </w:pPr>
      <w:r>
        <w:rPr>
          <w:rFonts w:hint="default" w:ascii="Times New Roman Italic" w:hAnsi="Times New Roman Italic" w:cs="Times New Roman Italic"/>
          <w:i/>
          <w:iCs/>
          <w:sz w:val="20"/>
          <w:szCs w:val="20"/>
        </w:rPr>
        <w:t xml:space="preserve">Supplementary Figure 4. </w:t>
      </w:r>
      <w:r>
        <w:rPr>
          <w:rFonts w:ascii="Times New Roman Italic" w:hAnsi="Times New Roman Italic" w:cs="Times New Roman Italic"/>
          <w:i/>
          <w:iCs/>
          <w:sz w:val="20"/>
          <w:szCs w:val="20"/>
        </w:rPr>
        <w:t>The pictures of shrunk gels from different groups at the fourth hour and statistical analysis of gel areas over time. Compared to control, **P&lt;0.01.</w:t>
      </w:r>
    </w:p>
    <w:p/>
    <w:p/>
    <w:p>
      <w:r>
        <w:drawing>
          <wp:inline distT="0" distB="0" distL="114300" distR="114300">
            <wp:extent cx="5268595" cy="2814955"/>
            <wp:effectExtent l="0" t="0" r="14605" b="4445"/>
            <wp:docPr id="2" name="图片 2" descr="Merge hifx 补充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Merge hifx 补充图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814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line="249" w:lineRule="auto"/>
        <w:ind w:right="10"/>
        <w:rPr>
          <w:rFonts w:ascii="Times New Roman Regular" w:hAnsi="Times New Roman Regular" w:cs="Times New Roman Regular"/>
          <w:i/>
          <w:iCs/>
        </w:rPr>
      </w:pPr>
      <w:r>
        <w:rPr>
          <w:rFonts w:ascii="Times New Roman Italic" w:hAnsi="Times New Roman Italic" w:cs="Times New Roman Italic"/>
          <w:b/>
          <w:bCs/>
          <w:i/>
          <w:iCs/>
          <w:sz w:val="20"/>
          <w:szCs w:val="20"/>
        </w:rPr>
        <w:t xml:space="preserve">Supplementary </w:t>
      </w:r>
      <w:r>
        <w:rPr>
          <w:rFonts w:hint="default" w:ascii="Times New Roman Italic" w:hAnsi="Times New Roman Italic" w:cs="Times New Roman Italic"/>
          <w:b/>
          <w:bCs/>
          <w:i/>
          <w:iCs/>
          <w:sz w:val="20"/>
          <w:szCs w:val="20"/>
        </w:rPr>
        <w:t>F</w:t>
      </w:r>
      <w:r>
        <w:rPr>
          <w:rFonts w:ascii="Times New Roman Italic" w:hAnsi="Times New Roman Italic" w:cs="Times New Roman Italic"/>
          <w:b/>
          <w:bCs/>
          <w:i/>
          <w:iCs/>
          <w:sz w:val="20"/>
          <w:szCs w:val="20"/>
        </w:rPr>
        <w:t xml:space="preserve">igure </w:t>
      </w:r>
      <w:r>
        <w:rPr>
          <w:rFonts w:hint="default" w:ascii="Times New Roman Italic" w:hAnsi="Times New Roman Italic" w:cs="Times New Roman Italic"/>
          <w:b/>
          <w:bCs/>
          <w:i/>
          <w:iCs/>
          <w:sz w:val="20"/>
          <w:szCs w:val="20"/>
        </w:rPr>
        <w:t>5</w:t>
      </w:r>
      <w:r>
        <w:rPr>
          <w:rFonts w:ascii="Times New Roman Italic" w:hAnsi="Times New Roman Italic" w:cs="Times New Roman Italic"/>
          <w:i/>
          <w:iCs/>
          <w:sz w:val="20"/>
          <w:szCs w:val="20"/>
        </w:rPr>
        <w:t xml:space="preserve">. </w:t>
      </w:r>
      <w:r>
        <w:rPr>
          <w:rFonts w:ascii="Times New Roman Regular" w:hAnsi="Times New Roman Regular" w:cs="Times New Roman Regular"/>
          <w:i/>
          <w:iCs/>
        </w:rPr>
        <w:t>Experiments for effects of HIF-1α inhibitor 2-MeOE2(10μM at final concentration) on hMSMCs. (A) Western blot analysis of indicated protein expression and the statistics graphs; (B) Analysis of the gel area among groups. Compared to group Control, *</w:t>
      </w:r>
      <w:r>
        <w:rPr>
          <w:rFonts w:ascii="Times New Roman Italic" w:hAnsi="Times New Roman Italic" w:cs="Times New Roman Italic"/>
          <w:i/>
          <w:iCs/>
        </w:rPr>
        <w:t>P</w:t>
      </w:r>
      <w:r>
        <w:rPr>
          <w:rFonts w:ascii="Times New Roman Regular" w:hAnsi="Times New Roman Regular" w:cs="Times New Roman Regular"/>
          <w:i/>
          <w:iCs/>
        </w:rPr>
        <w:t>&lt;0.05, **</w:t>
      </w:r>
      <w:r>
        <w:rPr>
          <w:rFonts w:ascii="Times New Roman Italic" w:hAnsi="Times New Roman Italic" w:cs="Times New Roman Italic"/>
          <w:i/>
          <w:iCs/>
        </w:rPr>
        <w:t>P</w:t>
      </w:r>
      <w:r>
        <w:rPr>
          <w:rFonts w:ascii="Times New Roman Regular" w:hAnsi="Times New Roman Regular" w:cs="Times New Roman Regular"/>
          <w:i/>
          <w:iCs/>
        </w:rPr>
        <w:t xml:space="preserve">&lt;0.01; Compared to group Hypoxia, </w:t>
      </w:r>
      <w:r>
        <w:rPr>
          <w:rFonts w:ascii="Times New Roman Regular" w:hAnsi="Times New Roman Regular" w:cs="Times New Roman Regular"/>
          <w:i/>
          <w:iCs/>
          <w:vertAlign w:val="superscript"/>
        </w:rPr>
        <w:t>#</w:t>
      </w:r>
      <w:r>
        <w:rPr>
          <w:rFonts w:ascii="Times New Roman Italic" w:hAnsi="Times New Roman Italic" w:cs="Times New Roman Italic"/>
          <w:i/>
          <w:iCs/>
        </w:rPr>
        <w:t>P</w:t>
      </w:r>
      <w:r>
        <w:rPr>
          <w:rFonts w:ascii="Times New Roman Regular" w:hAnsi="Times New Roman Regular" w:cs="Times New Roman Regular"/>
          <w:i/>
          <w:iCs/>
        </w:rPr>
        <w:t xml:space="preserve">&lt;0.05, </w:t>
      </w:r>
      <w:r>
        <w:rPr>
          <w:rFonts w:ascii="Times New Roman Regular" w:hAnsi="Times New Roman Regular" w:cs="Times New Roman Regular"/>
          <w:i/>
          <w:iCs/>
          <w:vertAlign w:val="superscript"/>
        </w:rPr>
        <w:t>##</w:t>
      </w:r>
      <w:r>
        <w:rPr>
          <w:rFonts w:ascii="Times New Roman Italic" w:hAnsi="Times New Roman Italic" w:cs="Times New Roman Italic"/>
          <w:i/>
          <w:iCs/>
        </w:rPr>
        <w:t>P</w:t>
      </w:r>
      <w:r>
        <w:rPr>
          <w:rFonts w:ascii="Times New Roman Regular" w:hAnsi="Times New Roman Regular" w:cs="Times New Roman Regular"/>
          <w:i/>
          <w:iCs/>
        </w:rPr>
        <w:t>&lt;0.01.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auto"/>
    <w:pitch w:val="default"/>
    <w:sig w:usb0="00000000" w:usb1="00000000" w:usb2="00000000" w:usb3="00000000" w:csb0="00000000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Times New Roman Regular">
    <w:panose1 w:val="02020603050405020304"/>
    <w:charset w:val="00"/>
    <w:family w:val="auto"/>
    <w:pitch w:val="default"/>
    <w:sig w:usb0="00000000" w:usb1="00000000" w:usb2="00000000" w:usb3="00000000" w:csb0="00000000" w:csb1="00000000"/>
  </w:font>
  <w:font w:name="Times New Roman Italic">
    <w:panose1 w:val="02020603050405020304"/>
    <w:charset w:val="00"/>
    <w:family w:val="auto"/>
    <w:pitch w:val="default"/>
    <w:sig w:usb0="00000000" w:usb1="00000000" w:usb2="00000000" w:usb3="00000000" w:csb0="0000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BFF7BCC"/>
    <w:rsid w:val="3F6AB31D"/>
    <w:rsid w:val="4EFDDAA8"/>
    <w:rsid w:val="5DF72824"/>
    <w:rsid w:val="5EDFD8F3"/>
    <w:rsid w:val="6736A7C3"/>
    <w:rsid w:val="6A3B62E7"/>
    <w:rsid w:val="6D7DCDA5"/>
    <w:rsid w:val="6DDF1627"/>
    <w:rsid w:val="77BCBEC3"/>
    <w:rsid w:val="7BDDC16F"/>
    <w:rsid w:val="7BFEB352"/>
    <w:rsid w:val="7CFDF2A9"/>
    <w:rsid w:val="7F86C3CA"/>
    <w:rsid w:val="7FC7E3D3"/>
    <w:rsid w:val="851AEE4F"/>
    <w:rsid w:val="B7F76D4C"/>
    <w:rsid w:val="EE21A9BC"/>
    <w:rsid w:val="EE8E80B7"/>
    <w:rsid w:val="F7D7CFF3"/>
    <w:rsid w:val="FBFF7BCC"/>
    <w:rsid w:val="FEFFEDE9"/>
    <w:rsid w:val="FF6D67D5"/>
    <w:rsid w:val="FFDFD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Times New Roman" w:hAnsi="Times New Roman" w:eastAsia="Times New Roman" w:cs="Times New Roman"/>
      <w:sz w:val="20"/>
      <w:szCs w:val="20"/>
      <w:lang w:eastAsia="en-US"/>
    </w:rPr>
  </w:style>
  <w:style w:type="character" w:customStyle="1" w:styleId="5">
    <w:name w:val="font01"/>
    <w:basedOn w:val="4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Office_4.5.0.7415_F1E327BC-269C-435d-A152-05C5408002CA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2021-12-12T01:01:00Z</dcterms:created>
  <dc:creator>bryan_wan</dc:creator>
  <cp:lastModifiedBy>Bryan Wan</cp:lastModifiedBy>
  <dcterms:modified xsi:type="dcterms:W3CDTF">2022-09-02T17:20:09Z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2052-4.5.0.7415</vt:lpwstr>
  </property>
  <property fmtid="{D5CDD505-2E9C-101B-9397-08002B2CF9AE}" pid="3" name="ICV">
    <vt:lpwstr>46C22EAAD5E85D70C9CA1163DDDCCE01</vt:lpwstr>
  </property>
</Properties>
</file>